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DB0" w:rsidRPr="00506517" w:rsidRDefault="00FE4E94" w:rsidP="00506517">
      <w:pPr>
        <w:ind w:right="183"/>
        <w:jc w:val="right"/>
        <w:rPr>
          <w:rFonts w:ascii="Arial" w:hAnsi="Arial" w:cs="Arial"/>
          <w:b/>
          <w:bCs/>
          <w:color w:val="244061"/>
          <w:sz w:val="20"/>
          <w:szCs w:val="20"/>
        </w:rPr>
      </w:pPr>
      <w:r>
        <w:rPr>
          <w:rFonts w:ascii="Arial" w:hAnsi="Arial" w:cs="Arial"/>
          <w:b/>
          <w:bCs/>
          <w:color w:val="244061"/>
          <w:sz w:val="20"/>
          <w:szCs w:val="20"/>
        </w:rPr>
        <w:t>Ref: GJF/2017/02/03</w:t>
      </w:r>
    </w:p>
    <w:p w:rsidR="00513DB0" w:rsidRDefault="00BB36C2" w:rsidP="00506517">
      <w:pPr>
        <w:pStyle w:val="Heading1"/>
        <w:ind w:left="-426" w:right="183"/>
        <w:rPr>
          <w:rFonts w:ascii="Arial" w:hAnsi="Arial" w:cs="Arial"/>
          <w:sz w:val="24"/>
          <w:szCs w:val="24"/>
        </w:rPr>
      </w:pPr>
      <w:r>
        <w:rPr>
          <w:noProof/>
          <w:color w:val="000000"/>
          <w:lang w:eastAsia="en-GB"/>
        </w:rPr>
        <w:drawing>
          <wp:anchor distT="0" distB="0" distL="114300" distR="114300" simplePos="0" relativeHeight="251657728" behindDoc="0" locked="0" layoutInCell="1" allowOverlap="1">
            <wp:simplePos x="0" y="0"/>
            <wp:positionH relativeFrom="column">
              <wp:posOffset>4581525</wp:posOffset>
            </wp:positionH>
            <wp:positionV relativeFrom="paragraph">
              <wp:posOffset>63500</wp:posOffset>
            </wp:positionV>
            <wp:extent cx="1181100" cy="1181100"/>
            <wp:effectExtent l="19050" t="0" r="0" b="0"/>
            <wp:wrapSquare wrapText="bothSides"/>
            <wp:docPr id="13" name="Picture 1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JF Logo"/>
                    <pic:cNvPicPr>
                      <a:picLocks noChangeAspect="1" noChangeArrowheads="1"/>
                    </pic:cNvPicPr>
                  </pic:nvPicPr>
                  <pic:blipFill>
                    <a:blip r:embed="rId8" cstate="print"/>
                    <a:srcRect/>
                    <a:stretch>
                      <a:fillRect/>
                    </a:stretch>
                  </pic:blipFill>
                  <pic:spPr bwMode="auto">
                    <a:xfrm>
                      <a:off x="0" y="0"/>
                      <a:ext cx="1181100" cy="1181100"/>
                    </a:xfrm>
                    <a:prstGeom prst="rect">
                      <a:avLst/>
                    </a:prstGeom>
                    <a:noFill/>
                    <a:ln w="9525">
                      <a:noFill/>
                      <a:miter lim="800000"/>
                      <a:headEnd/>
                      <a:tailEnd/>
                    </a:ln>
                  </pic:spPr>
                </pic:pic>
              </a:graphicData>
            </a:graphic>
          </wp:anchor>
        </w:drawing>
      </w:r>
    </w:p>
    <w:p w:rsidR="00A2577B" w:rsidRPr="001175E5" w:rsidRDefault="0005107C" w:rsidP="00506517">
      <w:pPr>
        <w:pStyle w:val="Heading1"/>
        <w:ind w:left="-426" w:right="183"/>
        <w:rPr>
          <w:rFonts w:ascii="Arial" w:hAnsi="Arial" w:cs="Arial"/>
          <w:b w:val="0"/>
          <w:sz w:val="24"/>
          <w:szCs w:val="24"/>
        </w:rPr>
      </w:pPr>
      <w:r>
        <w:rPr>
          <w:rFonts w:ascii="Arial" w:hAnsi="Arial" w:cs="Arial"/>
          <w:sz w:val="24"/>
          <w:szCs w:val="24"/>
        </w:rPr>
        <w:t>Board meeting</w:t>
      </w:r>
      <w:r w:rsidR="00A57AF3">
        <w:rPr>
          <w:rFonts w:ascii="Arial" w:hAnsi="Arial" w:cs="Arial"/>
          <w:sz w:val="24"/>
          <w:szCs w:val="24"/>
        </w:rPr>
        <w:t>:</w:t>
      </w:r>
      <w:r w:rsidR="00A2577B" w:rsidRPr="001175E5">
        <w:rPr>
          <w:rFonts w:ascii="Arial" w:hAnsi="Arial" w:cs="Arial"/>
          <w:b w:val="0"/>
          <w:sz w:val="24"/>
          <w:szCs w:val="24"/>
        </w:rPr>
        <w:tab/>
      </w:r>
      <w:r w:rsidR="00FE4E94">
        <w:rPr>
          <w:rFonts w:ascii="Arial" w:hAnsi="Arial" w:cs="Arial"/>
          <w:b w:val="0"/>
          <w:sz w:val="24"/>
          <w:szCs w:val="24"/>
        </w:rPr>
        <w:tab/>
      </w:r>
      <w:r w:rsidR="00A9157C">
        <w:rPr>
          <w:rFonts w:ascii="Arial" w:hAnsi="Arial" w:cs="Arial"/>
          <w:b w:val="0"/>
          <w:sz w:val="24"/>
          <w:szCs w:val="24"/>
        </w:rPr>
        <w:t>1</w:t>
      </w:r>
      <w:r>
        <w:rPr>
          <w:rFonts w:ascii="Arial" w:hAnsi="Arial" w:cs="Arial"/>
          <w:b w:val="0"/>
          <w:sz w:val="24"/>
          <w:szCs w:val="24"/>
        </w:rPr>
        <w:t>6 February 2017</w:t>
      </w:r>
    </w:p>
    <w:p w:rsidR="001175E5" w:rsidRPr="00682309" w:rsidRDefault="001175E5" w:rsidP="00506517">
      <w:pPr>
        <w:ind w:left="-426" w:right="183"/>
        <w:rPr>
          <w:rFonts w:ascii="Arial" w:hAnsi="Arial" w:cs="Arial"/>
        </w:rPr>
      </w:pPr>
    </w:p>
    <w:p w:rsidR="00A2577B" w:rsidRPr="00682309" w:rsidRDefault="00A2577B" w:rsidP="00506517">
      <w:pPr>
        <w:ind w:left="-426" w:right="183"/>
        <w:rPr>
          <w:rFonts w:ascii="Arial" w:hAnsi="Arial" w:cs="Arial"/>
        </w:rPr>
      </w:pPr>
      <w:r w:rsidRPr="00682309">
        <w:rPr>
          <w:rFonts w:ascii="Arial" w:hAnsi="Arial" w:cs="Arial"/>
          <w:b/>
          <w:bCs/>
        </w:rPr>
        <w:t xml:space="preserve">Subject: </w:t>
      </w:r>
      <w:r w:rsidRPr="00682309">
        <w:rPr>
          <w:rFonts w:ascii="Arial" w:hAnsi="Arial" w:cs="Arial"/>
          <w:b/>
          <w:bCs/>
        </w:rPr>
        <w:tab/>
      </w:r>
      <w:r w:rsidRPr="00682309">
        <w:rPr>
          <w:rFonts w:ascii="Arial" w:hAnsi="Arial" w:cs="Arial"/>
          <w:b/>
          <w:bCs/>
        </w:rPr>
        <w:tab/>
      </w:r>
      <w:r w:rsidR="00513DB0">
        <w:rPr>
          <w:rFonts w:ascii="Arial" w:hAnsi="Arial" w:cs="Arial"/>
          <w:b/>
          <w:bCs/>
        </w:rPr>
        <w:tab/>
      </w:r>
      <w:r w:rsidR="00F1061D">
        <w:rPr>
          <w:rFonts w:ascii="Arial" w:hAnsi="Arial" w:cs="Arial"/>
          <w:bCs/>
        </w:rPr>
        <w:t>Partnership Forum Update</w:t>
      </w:r>
    </w:p>
    <w:p w:rsidR="00A2577B" w:rsidRPr="00682309" w:rsidRDefault="00A2577B" w:rsidP="00506517">
      <w:pPr>
        <w:ind w:left="-426" w:right="183"/>
        <w:rPr>
          <w:rFonts w:ascii="Arial" w:hAnsi="Arial" w:cs="Arial"/>
          <w:b/>
          <w:bCs/>
        </w:rPr>
      </w:pPr>
      <w:r w:rsidRPr="00682309">
        <w:rPr>
          <w:rFonts w:ascii="Arial" w:hAnsi="Arial" w:cs="Arial"/>
          <w:b/>
          <w:bCs/>
        </w:rPr>
        <w:tab/>
      </w:r>
    </w:p>
    <w:p w:rsidR="00506517" w:rsidRDefault="00A2577B" w:rsidP="00506517">
      <w:pPr>
        <w:ind w:left="-426" w:right="183"/>
        <w:rPr>
          <w:rFonts w:ascii="Arial" w:hAnsi="Arial" w:cs="Arial"/>
          <w:b/>
          <w:bCs/>
          <w:sz w:val="18"/>
          <w:szCs w:val="18"/>
        </w:rPr>
      </w:pPr>
      <w:r w:rsidRPr="00682309">
        <w:rPr>
          <w:rFonts w:ascii="Arial" w:hAnsi="Arial" w:cs="Arial"/>
          <w:b/>
          <w:bCs/>
        </w:rPr>
        <w:t>Recommendation:</w:t>
      </w:r>
      <w:r w:rsidRPr="00682309">
        <w:rPr>
          <w:rFonts w:ascii="Arial" w:hAnsi="Arial" w:cs="Arial"/>
          <w:b/>
          <w:bCs/>
        </w:rPr>
        <w:tab/>
      </w:r>
      <w:r w:rsidR="0005107C">
        <w:rPr>
          <w:rFonts w:ascii="Arial" w:hAnsi="Arial" w:cs="Arial"/>
        </w:rPr>
        <w:t>The Board</w:t>
      </w:r>
      <w:r w:rsidR="001175E5" w:rsidRPr="00C92710">
        <w:rPr>
          <w:rFonts w:ascii="Arial" w:hAnsi="Arial" w:cs="Arial"/>
        </w:rPr>
        <w:t xml:space="preserve"> </w:t>
      </w:r>
      <w:r w:rsidR="00A9157C">
        <w:rPr>
          <w:rFonts w:ascii="Arial" w:hAnsi="Arial" w:cs="Arial"/>
        </w:rPr>
        <w:t>is</w:t>
      </w:r>
      <w:r w:rsidR="001175E5" w:rsidRPr="00C92710">
        <w:rPr>
          <w:rFonts w:ascii="Arial" w:hAnsi="Arial" w:cs="Arial"/>
        </w:rPr>
        <w:t xml:space="preserve"> asked to note</w:t>
      </w:r>
      <w:r w:rsidR="00F1061D">
        <w:rPr>
          <w:rFonts w:ascii="Arial" w:hAnsi="Arial" w:cs="Arial"/>
          <w:iCs/>
        </w:rPr>
        <w:t xml:space="preserve"> this update</w:t>
      </w:r>
      <w:r w:rsidR="00FD5E76">
        <w:rPr>
          <w:rFonts w:ascii="Arial" w:hAnsi="Arial" w:cs="Arial"/>
          <w:i/>
          <w:iCs/>
        </w:rPr>
        <w:br/>
      </w:r>
    </w:p>
    <w:p w:rsidR="00FE4E94" w:rsidRPr="00506517" w:rsidRDefault="00FE4E94" w:rsidP="00506517">
      <w:pPr>
        <w:ind w:left="-426" w:right="183"/>
        <w:rPr>
          <w:rFonts w:ascii="Arial" w:hAnsi="Arial" w:cs="Arial"/>
          <w:b/>
          <w:bCs/>
          <w:sz w:val="18"/>
          <w:szCs w:val="18"/>
        </w:rPr>
      </w:pPr>
    </w:p>
    <w:p w:rsidR="00A2577B" w:rsidRPr="00682309" w:rsidRDefault="00513DB0" w:rsidP="00506517">
      <w:pPr>
        <w:ind w:left="-426" w:right="183"/>
        <w:rPr>
          <w:rFonts w:ascii="Arial" w:hAnsi="Arial" w:cs="Arial"/>
          <w:b/>
          <w:bCs/>
        </w:rPr>
      </w:pPr>
      <w:r>
        <w:rPr>
          <w:rFonts w:ascii="Arial" w:hAnsi="Arial" w:cs="Arial"/>
          <w:b/>
          <w:bCs/>
        </w:rPr>
        <w:t>________</w:t>
      </w:r>
      <w:r w:rsidR="00A9157C">
        <w:rPr>
          <w:rFonts w:ascii="Arial" w:hAnsi="Arial" w:cs="Arial"/>
          <w:b/>
          <w:bCs/>
        </w:rPr>
        <w:t>_________________________</w:t>
      </w:r>
      <w:r w:rsidR="00506517">
        <w:rPr>
          <w:rFonts w:ascii="Arial" w:hAnsi="Arial" w:cs="Arial"/>
          <w:b/>
          <w:bCs/>
        </w:rPr>
        <w:t>__________________</w:t>
      </w:r>
      <w:r w:rsidR="00A57AF3">
        <w:rPr>
          <w:rFonts w:ascii="Arial" w:hAnsi="Arial" w:cs="Arial"/>
          <w:b/>
          <w:bCs/>
        </w:rPr>
        <w:t>_________________</w:t>
      </w:r>
    </w:p>
    <w:p w:rsidR="001175E5" w:rsidRPr="001175E5" w:rsidRDefault="001175E5" w:rsidP="00506517">
      <w:pPr>
        <w:pStyle w:val="Heading2"/>
        <w:ind w:left="-426" w:right="183"/>
        <w:rPr>
          <w:i w:val="0"/>
          <w:sz w:val="24"/>
          <w:szCs w:val="24"/>
        </w:rPr>
      </w:pPr>
      <w:r w:rsidRPr="001175E5">
        <w:rPr>
          <w:i w:val="0"/>
          <w:sz w:val="24"/>
          <w:szCs w:val="24"/>
        </w:rPr>
        <w:t>1</w:t>
      </w:r>
      <w:r w:rsidRPr="001175E5">
        <w:rPr>
          <w:i w:val="0"/>
          <w:sz w:val="24"/>
          <w:szCs w:val="24"/>
        </w:rPr>
        <w:tab/>
        <w:t>Background</w:t>
      </w:r>
    </w:p>
    <w:p w:rsidR="006D232B" w:rsidRDefault="001175E5" w:rsidP="00506517">
      <w:pPr>
        <w:ind w:left="-426" w:right="183"/>
        <w:rPr>
          <w:rFonts w:ascii="Arial" w:hAnsi="Arial" w:cs="Arial"/>
          <w:b/>
          <w:bCs/>
        </w:rPr>
      </w:pPr>
      <w:r w:rsidRPr="001175E5">
        <w:rPr>
          <w:rFonts w:ascii="Arial" w:hAnsi="Arial" w:cs="Arial"/>
          <w:b/>
          <w:bCs/>
        </w:rPr>
        <w:tab/>
      </w:r>
    </w:p>
    <w:p w:rsidR="006D232B" w:rsidRPr="006D232B" w:rsidRDefault="006D232B" w:rsidP="00506517">
      <w:pPr>
        <w:rPr>
          <w:rFonts w:ascii="Arial" w:hAnsi="Arial" w:cs="Arial"/>
        </w:rPr>
      </w:pPr>
      <w:r w:rsidRPr="006D232B">
        <w:rPr>
          <w:rFonts w:ascii="Arial" w:hAnsi="Arial" w:cs="Arial"/>
        </w:rPr>
        <w:t xml:space="preserve">The following key points were agreed at the meeting </w:t>
      </w:r>
      <w:r w:rsidR="004A781A">
        <w:rPr>
          <w:rFonts w:ascii="Arial" w:hAnsi="Arial" w:cs="Arial"/>
        </w:rPr>
        <w:t xml:space="preserve">on </w:t>
      </w:r>
      <w:r w:rsidR="0005107C">
        <w:rPr>
          <w:rFonts w:ascii="Arial" w:hAnsi="Arial" w:cs="Arial"/>
        </w:rPr>
        <w:t>13 January 2017</w:t>
      </w:r>
      <w:r w:rsidR="004A781A">
        <w:rPr>
          <w:rFonts w:ascii="Arial" w:hAnsi="Arial" w:cs="Arial"/>
        </w:rPr>
        <w:t xml:space="preserve"> </w:t>
      </w:r>
      <w:r w:rsidRPr="006D232B">
        <w:rPr>
          <w:rFonts w:ascii="Arial" w:hAnsi="Arial" w:cs="Arial"/>
        </w:rPr>
        <w:t>and have been split into the three high level quality ambitions of person centred, safe, and effective.</w:t>
      </w:r>
    </w:p>
    <w:p w:rsidR="006D232B" w:rsidRPr="006D232B" w:rsidRDefault="006D232B" w:rsidP="00506517">
      <w:pPr>
        <w:pStyle w:val="Body"/>
        <w:pBdr>
          <w:top w:val="none" w:sz="0" w:space="0" w:color="auto"/>
          <w:left w:val="none" w:sz="0" w:space="0" w:color="auto"/>
          <w:bottom w:val="none" w:sz="0" w:space="0" w:color="auto"/>
          <w:right w:val="none" w:sz="0" w:space="0" w:color="auto"/>
          <w:bar w:val="none" w:sz="0" w:color="auto"/>
        </w:pBdr>
        <w:ind w:left="-426"/>
        <w:rPr>
          <w:rFonts w:hAnsi="Arial" w:cs="Arial"/>
          <w:lang w:val="en-US"/>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51"/>
        <w:gridCol w:w="7929"/>
      </w:tblGrid>
      <w:tr w:rsidR="006D232B" w:rsidRPr="00745A4B" w:rsidTr="00745A4B">
        <w:trPr>
          <w:trHeight w:val="388"/>
        </w:trPr>
        <w:tc>
          <w:tcPr>
            <w:tcW w:w="1217" w:type="dxa"/>
            <w:shd w:val="clear" w:color="auto" w:fill="0000FF"/>
          </w:tcPr>
          <w:p w:rsidR="006D232B" w:rsidRPr="00745A4B" w:rsidRDefault="006D232B" w:rsidP="00506517">
            <w:pPr>
              <w:ind w:left="34"/>
              <w:rPr>
                <w:rFonts w:ascii="Arial" w:hAnsi="Arial" w:cs="Arial"/>
                <w:b/>
                <w:bCs/>
                <w:color w:val="FFFFFF"/>
                <w:lang w:val="en-US"/>
              </w:rPr>
            </w:pPr>
            <w:r w:rsidRPr="00745A4B">
              <w:rPr>
                <w:rFonts w:ascii="Arial" w:hAnsi="Arial" w:cs="Arial"/>
                <w:b/>
                <w:bCs/>
                <w:color w:val="FFFFFF"/>
                <w:lang w:val="en-US"/>
              </w:rPr>
              <w:t>Item</w:t>
            </w:r>
          </w:p>
        </w:tc>
        <w:tc>
          <w:tcPr>
            <w:tcW w:w="7963" w:type="dxa"/>
            <w:shd w:val="clear" w:color="auto" w:fill="0000FF"/>
          </w:tcPr>
          <w:p w:rsidR="006D232B" w:rsidRPr="00745A4B" w:rsidRDefault="006D232B" w:rsidP="00506517">
            <w:pPr>
              <w:rPr>
                <w:rFonts w:ascii="Arial" w:hAnsi="Arial" w:cs="Arial"/>
                <w:b/>
                <w:bCs/>
                <w:color w:val="FFFFFF"/>
                <w:lang w:val="en-US"/>
              </w:rPr>
            </w:pPr>
            <w:r w:rsidRPr="00745A4B">
              <w:rPr>
                <w:rFonts w:ascii="Arial" w:hAnsi="Arial" w:cs="Arial"/>
                <w:b/>
                <w:bCs/>
                <w:color w:val="FFFFFF"/>
                <w:lang w:val="en-US"/>
              </w:rPr>
              <w:t>Details</w:t>
            </w:r>
          </w:p>
        </w:tc>
      </w:tr>
      <w:tr w:rsidR="006D232B" w:rsidRPr="00745A4B" w:rsidTr="00745A4B">
        <w:tc>
          <w:tcPr>
            <w:tcW w:w="1217" w:type="dxa"/>
          </w:tcPr>
          <w:p w:rsidR="006D232B" w:rsidRPr="00745A4B" w:rsidRDefault="006D232B" w:rsidP="00506517">
            <w:pPr>
              <w:ind w:left="34"/>
              <w:rPr>
                <w:rFonts w:ascii="Arial" w:hAnsi="Arial" w:cs="Arial"/>
                <w:b/>
                <w:bCs/>
                <w:lang w:val="en-US"/>
              </w:rPr>
            </w:pPr>
            <w:r w:rsidRPr="00745A4B">
              <w:rPr>
                <w:rFonts w:ascii="Arial" w:hAnsi="Arial" w:cs="Arial"/>
                <w:b/>
                <w:bCs/>
                <w:lang w:val="en-US"/>
              </w:rPr>
              <w:t xml:space="preserve">Person </w:t>
            </w:r>
            <w:proofErr w:type="spellStart"/>
            <w:r w:rsidRPr="00745A4B">
              <w:rPr>
                <w:rFonts w:ascii="Arial" w:hAnsi="Arial" w:cs="Arial"/>
                <w:b/>
                <w:bCs/>
                <w:lang w:val="en-US"/>
              </w:rPr>
              <w:t>Centred</w:t>
            </w:r>
            <w:proofErr w:type="spellEnd"/>
          </w:p>
          <w:p w:rsidR="006D232B" w:rsidRPr="00745A4B" w:rsidRDefault="006D232B" w:rsidP="00506517">
            <w:pPr>
              <w:ind w:left="34"/>
              <w:rPr>
                <w:rFonts w:ascii="Arial" w:hAnsi="Arial" w:cs="Arial"/>
                <w:bCs/>
                <w:lang w:val="en-US"/>
              </w:rPr>
            </w:pPr>
          </w:p>
          <w:p w:rsidR="006D232B" w:rsidRPr="00745A4B" w:rsidRDefault="006D232B" w:rsidP="00506517">
            <w:pPr>
              <w:ind w:left="34"/>
              <w:rPr>
                <w:rFonts w:ascii="Arial" w:hAnsi="Arial" w:cs="Arial"/>
                <w:bCs/>
                <w:lang w:val="en-US"/>
              </w:rPr>
            </w:pPr>
          </w:p>
          <w:p w:rsidR="006D232B" w:rsidRPr="00745A4B" w:rsidRDefault="006D232B" w:rsidP="00506517">
            <w:pPr>
              <w:ind w:left="34"/>
              <w:rPr>
                <w:rFonts w:ascii="Arial" w:hAnsi="Arial" w:cs="Arial"/>
                <w:bCs/>
                <w:lang w:val="en-US"/>
              </w:rPr>
            </w:pPr>
          </w:p>
        </w:tc>
        <w:tc>
          <w:tcPr>
            <w:tcW w:w="7963" w:type="dxa"/>
          </w:tcPr>
          <w:p w:rsidR="006D232B" w:rsidRPr="00745A4B" w:rsidRDefault="006D232B" w:rsidP="00506517">
            <w:pPr>
              <w:rPr>
                <w:rFonts w:ascii="Arial" w:hAnsi="Arial" w:cs="Arial"/>
                <w:b/>
                <w:color w:val="000000"/>
              </w:rPr>
            </w:pPr>
            <w:r w:rsidRPr="00745A4B">
              <w:rPr>
                <w:rFonts w:ascii="Arial" w:hAnsi="Arial" w:cs="Arial"/>
                <w:b/>
                <w:color w:val="000000"/>
              </w:rPr>
              <w:t>Mutually beneficial partnerships between patients, their families and those delivering healthcare services which respect individual needs and values and which demonstrate compassion, continuity, clear communication and shared decision-making.</w:t>
            </w:r>
          </w:p>
          <w:p w:rsidR="006D232B" w:rsidRPr="00745A4B" w:rsidRDefault="006D232B" w:rsidP="00506517">
            <w:pPr>
              <w:rPr>
                <w:rFonts w:ascii="Arial" w:hAnsi="Arial" w:cs="Arial"/>
                <w:bCs/>
                <w:lang w:val="en-US"/>
              </w:rPr>
            </w:pPr>
          </w:p>
          <w:p w:rsidR="00810B2C" w:rsidRDefault="00810B2C" w:rsidP="00810B2C">
            <w:r>
              <w:rPr>
                <w:rFonts w:ascii="Arial" w:hAnsi="Arial" w:cs="Arial"/>
                <w:b/>
                <w:bCs/>
                <w:lang w:val="en-US"/>
              </w:rPr>
              <w:t>Equality Outcomes</w:t>
            </w:r>
          </w:p>
          <w:p w:rsidR="00810B2C" w:rsidRPr="00070918" w:rsidRDefault="008A635F" w:rsidP="00070918">
            <w:pPr>
              <w:pStyle w:val="ListParagraph"/>
              <w:numPr>
                <w:ilvl w:val="0"/>
                <w:numId w:val="13"/>
              </w:numPr>
              <w:ind w:left="360"/>
            </w:pPr>
            <w:r w:rsidRPr="00070918">
              <w:t>Following review</w:t>
            </w:r>
            <w:r w:rsidR="00FE4E94" w:rsidRPr="00070918">
              <w:t>,</w:t>
            </w:r>
            <w:r w:rsidRPr="00070918">
              <w:t xml:space="preserve"> the Forum </w:t>
            </w:r>
            <w:r w:rsidR="00810B2C" w:rsidRPr="00070918">
              <w:t>sign</w:t>
            </w:r>
            <w:r w:rsidRPr="00070918">
              <w:t>ed</w:t>
            </w:r>
            <w:r w:rsidR="00810B2C" w:rsidRPr="00070918">
              <w:t xml:space="preserve"> off the Equal</w:t>
            </w:r>
            <w:r w:rsidRPr="00070918">
              <w:t>ity Outcomes for the period 2014-2016</w:t>
            </w:r>
            <w:r w:rsidR="00FE4E94" w:rsidRPr="00070918">
              <w:t>,</w:t>
            </w:r>
            <w:r w:rsidRPr="00070918">
              <w:t xml:space="preserve"> with assurance that</w:t>
            </w:r>
            <w:r w:rsidR="00810B2C" w:rsidRPr="00070918">
              <w:t xml:space="preserve"> the outcomes still recorded in amber would be carried forwarded to the o</w:t>
            </w:r>
            <w:r w:rsidRPr="00070918">
              <w:t>utcomes for 2017-2020 and would</w:t>
            </w:r>
            <w:r w:rsidR="00810B2C" w:rsidRPr="00070918">
              <w:t xml:space="preserve"> be closed off in this period. </w:t>
            </w:r>
          </w:p>
          <w:p w:rsidR="00810B2C" w:rsidRPr="00070918" w:rsidRDefault="008A635F" w:rsidP="00070918">
            <w:pPr>
              <w:pStyle w:val="ListParagraph"/>
              <w:numPr>
                <w:ilvl w:val="0"/>
                <w:numId w:val="13"/>
              </w:numPr>
              <w:ind w:left="360"/>
            </w:pPr>
            <w:r w:rsidRPr="00070918">
              <w:t>The Forum discussed the 2017-</w:t>
            </w:r>
            <w:r w:rsidR="00FE4E94" w:rsidRPr="00070918">
              <w:t>20</w:t>
            </w:r>
            <w:r w:rsidRPr="00070918">
              <w:t>20 outcomes</w:t>
            </w:r>
            <w:r w:rsidR="00070918" w:rsidRPr="00070918">
              <w:t xml:space="preserve">; they </w:t>
            </w:r>
            <w:r w:rsidRPr="00070918">
              <w:t>support</w:t>
            </w:r>
            <w:r w:rsidR="00070918" w:rsidRPr="00070918">
              <w:t>ed</w:t>
            </w:r>
            <w:r w:rsidRPr="00070918">
              <w:t xml:space="preserve"> these in principal but recognised that they need to be expanded further prior to sign off.</w:t>
            </w:r>
            <w:r w:rsidR="00810B2C" w:rsidRPr="00070918">
              <w:t xml:space="preserve"> </w:t>
            </w:r>
          </w:p>
          <w:p w:rsidR="00E02FFA" w:rsidRPr="00E02FFA" w:rsidRDefault="00E02FFA" w:rsidP="00B0281E">
            <w:pPr>
              <w:rPr>
                <w:rFonts w:ascii="Arial" w:hAnsi="Arial" w:cs="Arial"/>
              </w:rPr>
            </w:pPr>
          </w:p>
        </w:tc>
      </w:tr>
      <w:tr w:rsidR="006D232B" w:rsidRPr="00745A4B" w:rsidTr="00745A4B">
        <w:tc>
          <w:tcPr>
            <w:tcW w:w="1217" w:type="dxa"/>
          </w:tcPr>
          <w:p w:rsidR="006D232B" w:rsidRPr="00745A4B" w:rsidRDefault="006D232B" w:rsidP="00506517">
            <w:pPr>
              <w:ind w:left="34"/>
              <w:rPr>
                <w:rFonts w:ascii="Arial" w:hAnsi="Arial" w:cs="Arial"/>
                <w:b/>
                <w:bCs/>
                <w:lang w:val="en-US"/>
              </w:rPr>
            </w:pPr>
            <w:r w:rsidRPr="00745A4B">
              <w:rPr>
                <w:rFonts w:ascii="Arial" w:hAnsi="Arial" w:cs="Arial"/>
                <w:b/>
                <w:bCs/>
                <w:lang w:val="en-US"/>
              </w:rPr>
              <w:t>Safe</w:t>
            </w:r>
          </w:p>
          <w:p w:rsidR="006D232B" w:rsidRPr="00745A4B" w:rsidRDefault="006D232B" w:rsidP="00506517">
            <w:pPr>
              <w:ind w:left="34"/>
              <w:rPr>
                <w:rFonts w:ascii="Arial" w:hAnsi="Arial" w:cs="Arial"/>
              </w:rPr>
            </w:pPr>
          </w:p>
          <w:p w:rsidR="006D232B" w:rsidRPr="00745A4B" w:rsidRDefault="006D232B" w:rsidP="00506517">
            <w:pPr>
              <w:ind w:left="34"/>
              <w:rPr>
                <w:rFonts w:ascii="Arial" w:hAnsi="Arial" w:cs="Arial"/>
              </w:rPr>
            </w:pPr>
          </w:p>
          <w:p w:rsidR="006D232B" w:rsidRPr="00745A4B" w:rsidRDefault="006D232B" w:rsidP="00506517">
            <w:pPr>
              <w:ind w:left="34"/>
              <w:rPr>
                <w:rFonts w:ascii="Arial" w:hAnsi="Arial" w:cs="Arial"/>
              </w:rPr>
            </w:pPr>
          </w:p>
          <w:p w:rsidR="006D232B" w:rsidRPr="00745A4B" w:rsidRDefault="006D232B" w:rsidP="00506517">
            <w:pPr>
              <w:ind w:left="34"/>
              <w:rPr>
                <w:rFonts w:ascii="Arial" w:hAnsi="Arial" w:cs="Arial"/>
              </w:rPr>
            </w:pPr>
          </w:p>
          <w:p w:rsidR="006D232B" w:rsidRPr="00745A4B" w:rsidRDefault="006D232B" w:rsidP="00506517">
            <w:pPr>
              <w:rPr>
                <w:rFonts w:ascii="Arial" w:hAnsi="Arial" w:cs="Arial"/>
              </w:rPr>
            </w:pPr>
          </w:p>
          <w:p w:rsidR="006D232B" w:rsidRPr="00745A4B" w:rsidRDefault="006D232B" w:rsidP="00506517">
            <w:pPr>
              <w:ind w:left="34"/>
              <w:rPr>
                <w:rFonts w:ascii="Arial" w:hAnsi="Arial" w:cs="Arial"/>
              </w:rPr>
            </w:pPr>
          </w:p>
        </w:tc>
        <w:tc>
          <w:tcPr>
            <w:tcW w:w="7963" w:type="dxa"/>
          </w:tcPr>
          <w:p w:rsidR="006D232B" w:rsidRPr="002F5ACF" w:rsidRDefault="006D232B" w:rsidP="00506517">
            <w:pPr>
              <w:pStyle w:val="ListParagraph"/>
              <w:ind w:left="0"/>
              <w:rPr>
                <w:b/>
                <w:color w:val="000000"/>
              </w:rPr>
            </w:pPr>
            <w:r w:rsidRPr="002F5ACF">
              <w:rPr>
                <w:b/>
                <w:color w:val="000000"/>
              </w:rPr>
              <w:t>There will be no avoidable injury or harm to people from healthcare they receive, and an appropriate, clean and safe environment will be provided for the delivery of healthcare services at all times.</w:t>
            </w:r>
          </w:p>
          <w:p w:rsidR="006D232B" w:rsidRPr="002F5ACF" w:rsidRDefault="006D232B" w:rsidP="00506517">
            <w:pPr>
              <w:rPr>
                <w:rFonts w:ascii="Arial" w:hAnsi="Arial" w:cs="Arial"/>
                <w:bCs/>
                <w:lang w:val="en-US"/>
              </w:rPr>
            </w:pPr>
          </w:p>
          <w:p w:rsidR="00B0281E" w:rsidRDefault="00B0281E" w:rsidP="00B0281E">
            <w:pPr>
              <w:pStyle w:val="Body"/>
              <w:pBdr>
                <w:top w:val="none" w:sz="0" w:space="0" w:color="auto"/>
                <w:left w:val="none" w:sz="0" w:space="0" w:color="auto"/>
                <w:bottom w:val="none" w:sz="0" w:space="0" w:color="auto"/>
                <w:right w:val="none" w:sz="0" w:space="0" w:color="auto"/>
                <w:bar w:val="none" w:sz="0" w:color="auto"/>
              </w:pBdr>
              <w:rPr>
                <w:rFonts w:hAnsi="Arial" w:cs="Arial"/>
                <w:lang w:val="en-US"/>
              </w:rPr>
            </w:pPr>
            <w:r>
              <w:rPr>
                <w:rFonts w:hAnsi="Arial" w:cs="Arial"/>
                <w:b/>
                <w:lang w:val="en-US"/>
              </w:rPr>
              <w:t>Electronic Patients Record (EPR)</w:t>
            </w:r>
          </w:p>
          <w:p w:rsidR="00B0281E" w:rsidRDefault="00B0281E" w:rsidP="00070918">
            <w:pPr>
              <w:pStyle w:val="Body"/>
              <w:numPr>
                <w:ilvl w:val="0"/>
                <w:numId w:val="14"/>
              </w:numPr>
              <w:pBdr>
                <w:top w:val="none" w:sz="0" w:space="0" w:color="auto"/>
                <w:left w:val="none" w:sz="0" w:space="0" w:color="auto"/>
                <w:bottom w:val="none" w:sz="0" w:space="0" w:color="auto"/>
                <w:right w:val="none" w:sz="0" w:space="0" w:color="auto"/>
                <w:bar w:val="none" w:sz="0" w:color="auto"/>
              </w:pBdr>
              <w:ind w:left="360"/>
              <w:rPr>
                <w:rFonts w:hAnsi="Arial" w:cs="Arial"/>
                <w:lang w:val="en-US"/>
              </w:rPr>
            </w:pPr>
            <w:r>
              <w:rPr>
                <w:rFonts w:hAnsi="Arial" w:cs="Arial"/>
                <w:lang w:val="en-US"/>
              </w:rPr>
              <w:t>The Forum received a presentation on EPR</w:t>
            </w:r>
            <w:r w:rsidR="00070918">
              <w:rPr>
                <w:rFonts w:hAnsi="Arial" w:cs="Arial"/>
                <w:lang w:val="en-US"/>
              </w:rPr>
              <w:t>,</w:t>
            </w:r>
            <w:r>
              <w:rPr>
                <w:rFonts w:hAnsi="Arial" w:cs="Arial"/>
                <w:lang w:val="en-US"/>
              </w:rPr>
              <w:t xml:space="preserve"> which included progress to date and the plans going forward.</w:t>
            </w:r>
            <w:r w:rsidR="00070918">
              <w:rPr>
                <w:rFonts w:hAnsi="Arial" w:cs="Arial"/>
                <w:lang w:val="en-US"/>
              </w:rPr>
              <w:t xml:space="preserve"> </w:t>
            </w:r>
          </w:p>
          <w:p w:rsidR="00070918" w:rsidRDefault="00B0281E" w:rsidP="00B0281E">
            <w:pPr>
              <w:pStyle w:val="Body"/>
              <w:numPr>
                <w:ilvl w:val="0"/>
                <w:numId w:val="14"/>
              </w:numPr>
              <w:pBdr>
                <w:top w:val="none" w:sz="0" w:space="0" w:color="auto"/>
                <w:left w:val="none" w:sz="0" w:space="0" w:color="auto"/>
                <w:bottom w:val="none" w:sz="0" w:space="0" w:color="auto"/>
                <w:right w:val="none" w:sz="0" w:space="0" w:color="auto"/>
                <w:bar w:val="none" w:sz="0" w:color="auto"/>
              </w:pBdr>
              <w:ind w:left="360"/>
              <w:rPr>
                <w:rFonts w:hAnsi="Arial" w:cs="Arial"/>
                <w:lang w:val="en-US"/>
              </w:rPr>
            </w:pPr>
            <w:r>
              <w:rPr>
                <w:rFonts w:hAnsi="Arial" w:cs="Arial"/>
                <w:lang w:val="en-US"/>
              </w:rPr>
              <w:t xml:space="preserve">The Forum discussed the challenge of getting staff on board and how staff ownership is </w:t>
            </w:r>
            <w:proofErr w:type="gramStart"/>
            <w:r>
              <w:rPr>
                <w:rFonts w:hAnsi="Arial" w:cs="Arial"/>
                <w:lang w:val="en-US"/>
              </w:rPr>
              <w:t>key</w:t>
            </w:r>
            <w:proofErr w:type="gramEnd"/>
            <w:r>
              <w:rPr>
                <w:rFonts w:hAnsi="Arial" w:cs="Arial"/>
                <w:lang w:val="en-US"/>
              </w:rPr>
              <w:t xml:space="preserve"> to delivering and </w:t>
            </w:r>
            <w:proofErr w:type="spellStart"/>
            <w:r>
              <w:rPr>
                <w:rFonts w:hAnsi="Arial" w:cs="Arial"/>
                <w:lang w:val="en-US"/>
              </w:rPr>
              <w:t>realising</w:t>
            </w:r>
            <w:proofErr w:type="spellEnd"/>
            <w:r>
              <w:rPr>
                <w:rFonts w:hAnsi="Arial" w:cs="Arial"/>
                <w:lang w:val="en-US"/>
              </w:rPr>
              <w:t xml:space="preserve"> the benefits of the project. It was noted that going forward staff need to feel empowered and supported on occasions when they receive requests from clinicians for paper notes, and that escalation processes need to be in place.</w:t>
            </w:r>
          </w:p>
          <w:p w:rsidR="007C549D" w:rsidRPr="002F5ACF" w:rsidRDefault="00B0281E" w:rsidP="00070918">
            <w:pPr>
              <w:pStyle w:val="Body"/>
              <w:numPr>
                <w:ilvl w:val="0"/>
                <w:numId w:val="14"/>
              </w:numPr>
              <w:pBdr>
                <w:top w:val="none" w:sz="0" w:space="0" w:color="auto"/>
                <w:left w:val="none" w:sz="0" w:space="0" w:color="auto"/>
                <w:bottom w:val="none" w:sz="0" w:space="0" w:color="auto"/>
                <w:right w:val="none" w:sz="0" w:space="0" w:color="auto"/>
                <w:bar w:val="none" w:sz="0" w:color="auto"/>
              </w:pBdr>
              <w:ind w:left="360"/>
              <w:rPr>
                <w:rFonts w:hAnsi="Arial" w:cs="Arial"/>
                <w:bCs/>
              </w:rPr>
            </w:pPr>
            <w:proofErr w:type="gramStart"/>
            <w:r w:rsidRPr="00070918">
              <w:rPr>
                <w:rFonts w:hAnsi="Arial" w:cs="Arial"/>
                <w:lang w:val="en-US"/>
              </w:rPr>
              <w:t>t</w:t>
            </w:r>
            <w:proofErr w:type="gramEnd"/>
            <w:r w:rsidRPr="00070918">
              <w:rPr>
                <w:rFonts w:hAnsi="Arial" w:cs="Arial"/>
                <w:lang w:val="en-US"/>
              </w:rPr>
              <w:t xml:space="preserve"> was also noted that the business case is being drawn up for the scanning of existing case notes, and this would be presented to the SMT once </w:t>
            </w:r>
            <w:proofErr w:type="spellStart"/>
            <w:r w:rsidRPr="00070918">
              <w:rPr>
                <w:rFonts w:hAnsi="Arial" w:cs="Arial"/>
                <w:lang w:val="en-US"/>
              </w:rPr>
              <w:t>finalised</w:t>
            </w:r>
            <w:proofErr w:type="spellEnd"/>
            <w:r w:rsidRPr="00070918">
              <w:rPr>
                <w:rFonts w:hAnsi="Arial" w:cs="Arial"/>
                <w:lang w:val="en-US"/>
              </w:rPr>
              <w:t xml:space="preserve">. </w:t>
            </w:r>
          </w:p>
        </w:tc>
      </w:tr>
      <w:tr w:rsidR="006D232B" w:rsidRPr="00745A4B" w:rsidTr="00745A4B">
        <w:tc>
          <w:tcPr>
            <w:tcW w:w="1217" w:type="dxa"/>
          </w:tcPr>
          <w:p w:rsidR="006D232B" w:rsidRPr="00745A4B" w:rsidRDefault="006D232B" w:rsidP="00506517">
            <w:pPr>
              <w:ind w:left="34"/>
              <w:rPr>
                <w:rFonts w:ascii="Arial" w:hAnsi="Arial" w:cs="Arial"/>
                <w:b/>
                <w:lang w:val="en-US"/>
              </w:rPr>
            </w:pPr>
            <w:r w:rsidRPr="00745A4B">
              <w:rPr>
                <w:rFonts w:ascii="Arial" w:hAnsi="Arial" w:cs="Arial"/>
                <w:b/>
                <w:lang w:val="en-US"/>
              </w:rPr>
              <w:lastRenderedPageBreak/>
              <w:t>Effective</w:t>
            </w:r>
          </w:p>
          <w:p w:rsidR="006D232B" w:rsidRPr="00745A4B" w:rsidRDefault="006D232B" w:rsidP="00506517">
            <w:pPr>
              <w:ind w:left="34"/>
              <w:rPr>
                <w:rFonts w:ascii="Arial" w:hAnsi="Arial" w:cs="Arial"/>
              </w:rPr>
            </w:pPr>
          </w:p>
          <w:p w:rsidR="006D232B" w:rsidRPr="00745A4B" w:rsidRDefault="006D232B" w:rsidP="00506517">
            <w:pPr>
              <w:ind w:left="34"/>
              <w:rPr>
                <w:rFonts w:ascii="Arial" w:hAnsi="Arial" w:cs="Arial"/>
              </w:rPr>
            </w:pPr>
          </w:p>
          <w:p w:rsidR="006D232B" w:rsidRPr="00745A4B" w:rsidRDefault="006D232B" w:rsidP="00506517">
            <w:pPr>
              <w:ind w:left="34"/>
              <w:rPr>
                <w:rFonts w:ascii="Arial" w:hAnsi="Arial" w:cs="Arial"/>
              </w:rPr>
            </w:pPr>
          </w:p>
        </w:tc>
        <w:tc>
          <w:tcPr>
            <w:tcW w:w="7963" w:type="dxa"/>
          </w:tcPr>
          <w:p w:rsidR="006D232B" w:rsidRPr="00745A4B" w:rsidRDefault="006D232B" w:rsidP="00506517">
            <w:pPr>
              <w:pStyle w:val="ListParagraph"/>
              <w:ind w:left="0"/>
              <w:rPr>
                <w:b/>
                <w:color w:val="000000"/>
              </w:rPr>
            </w:pPr>
            <w:r w:rsidRPr="00745A4B">
              <w:rPr>
                <w:b/>
                <w:color w:val="000000"/>
              </w:rPr>
              <w:t>The most appropriate treatments, interventions, support and services will be provided at the right time to everyone who will benefit, and wasteful or harmful variation will be eradicated.</w:t>
            </w:r>
          </w:p>
          <w:p w:rsidR="006D232B" w:rsidRPr="00745A4B" w:rsidRDefault="006D232B" w:rsidP="00506517">
            <w:pPr>
              <w:rPr>
                <w:rFonts w:ascii="Arial" w:hAnsi="Arial" w:cs="Arial"/>
                <w:b/>
                <w:lang w:val="en-US"/>
              </w:rPr>
            </w:pPr>
          </w:p>
          <w:p w:rsidR="00AD0178" w:rsidRPr="008E2733" w:rsidRDefault="00AD0178" w:rsidP="00796462">
            <w:pPr>
              <w:pStyle w:val="Body"/>
              <w:pBdr>
                <w:top w:val="none" w:sz="0" w:space="0" w:color="auto"/>
                <w:left w:val="none" w:sz="0" w:space="0" w:color="auto"/>
                <w:bottom w:val="none" w:sz="0" w:space="0" w:color="auto"/>
                <w:right w:val="none" w:sz="0" w:space="0" w:color="auto"/>
                <w:bar w:val="none" w:sz="0" w:color="auto"/>
              </w:pBdr>
              <w:rPr>
                <w:rFonts w:hAnsi="Arial" w:cs="Arial"/>
                <w:b/>
                <w:lang w:val="en-US"/>
              </w:rPr>
            </w:pPr>
            <w:r w:rsidRPr="008E2733">
              <w:rPr>
                <w:rFonts w:hAnsi="Arial" w:cs="Arial"/>
                <w:b/>
                <w:lang w:val="en-US"/>
              </w:rPr>
              <w:t>Expansion Plans</w:t>
            </w:r>
          </w:p>
          <w:p w:rsidR="000F6675" w:rsidRPr="00070918" w:rsidRDefault="000F6675" w:rsidP="00070918">
            <w:pPr>
              <w:pStyle w:val="ListParagraph"/>
              <w:numPr>
                <w:ilvl w:val="0"/>
                <w:numId w:val="15"/>
              </w:numPr>
              <w:ind w:left="360"/>
            </w:pPr>
            <w:r w:rsidRPr="00070918">
              <w:t xml:space="preserve">The Forum was informed the proposal for the mobile Ophthalmology unit has been approved and is aimed for March for implementation. </w:t>
            </w:r>
          </w:p>
          <w:p w:rsidR="000F6675" w:rsidRPr="00070918" w:rsidRDefault="000F6675" w:rsidP="00070918">
            <w:pPr>
              <w:pStyle w:val="ListParagraph"/>
              <w:numPr>
                <w:ilvl w:val="0"/>
                <w:numId w:val="15"/>
              </w:numPr>
              <w:ind w:left="360"/>
            </w:pPr>
            <w:r w:rsidRPr="00070918">
              <w:t>It was also confirmed that plans are progressing in relation to the dedicated Ophthalmology unit. The Project team has been tasked with reviewing the workforce requirements</w:t>
            </w:r>
            <w:r w:rsidR="00070918">
              <w:t xml:space="preserve">; </w:t>
            </w:r>
            <w:r w:rsidRPr="00070918">
              <w:t xml:space="preserve">any resources that have been identified to date have been taken to the Workforce Review group for formal sign off of posts. </w:t>
            </w:r>
          </w:p>
          <w:p w:rsidR="000F6675" w:rsidRPr="00070918" w:rsidRDefault="00C171C8" w:rsidP="00070918">
            <w:pPr>
              <w:pStyle w:val="ListParagraph"/>
              <w:numPr>
                <w:ilvl w:val="0"/>
                <w:numId w:val="15"/>
              </w:numPr>
              <w:ind w:left="360"/>
            </w:pPr>
            <w:r w:rsidRPr="00070918">
              <w:t>The site master plan</w:t>
            </w:r>
            <w:r w:rsidR="000F6675" w:rsidRPr="00070918">
              <w:t xml:space="preserve"> is </w:t>
            </w:r>
            <w:r w:rsidRPr="00070918">
              <w:t xml:space="preserve">being developed. The build should be complete </w:t>
            </w:r>
            <w:r w:rsidR="00070918">
              <w:t xml:space="preserve">by </w:t>
            </w:r>
            <w:r w:rsidR="000F6675" w:rsidRPr="00070918">
              <w:t>2021</w:t>
            </w:r>
            <w:r w:rsidR="00070918">
              <w:t>,</w:t>
            </w:r>
            <w:r w:rsidRPr="00070918">
              <w:t xml:space="preserve"> which is within the designated timeframe.</w:t>
            </w:r>
          </w:p>
          <w:p w:rsidR="00AD0178" w:rsidRPr="00745A4B" w:rsidRDefault="00AD0178" w:rsidP="00AD0178">
            <w:pPr>
              <w:pStyle w:val="Body"/>
              <w:pBdr>
                <w:top w:val="none" w:sz="0" w:space="0" w:color="auto"/>
                <w:left w:val="none" w:sz="0" w:space="0" w:color="auto"/>
                <w:bottom w:val="none" w:sz="0" w:space="0" w:color="auto"/>
                <w:right w:val="none" w:sz="0" w:space="0" w:color="auto"/>
                <w:bar w:val="none" w:sz="0" w:color="auto"/>
              </w:pBdr>
              <w:rPr>
                <w:rFonts w:hAnsi="Arial" w:cs="Arial"/>
                <w:lang w:val="en-US"/>
              </w:rPr>
            </w:pPr>
          </w:p>
          <w:p w:rsidR="006D232B" w:rsidRDefault="000F6675" w:rsidP="00796462">
            <w:pPr>
              <w:pStyle w:val="Body"/>
              <w:pBdr>
                <w:top w:val="none" w:sz="0" w:space="0" w:color="auto"/>
                <w:left w:val="none" w:sz="0" w:space="0" w:color="auto"/>
                <w:bottom w:val="none" w:sz="0" w:space="0" w:color="auto"/>
                <w:right w:val="none" w:sz="0" w:space="0" w:color="auto"/>
                <w:bar w:val="none" w:sz="0" w:color="auto"/>
              </w:pBdr>
              <w:rPr>
                <w:rFonts w:hAnsi="Arial" w:cs="Arial"/>
                <w:b/>
                <w:lang w:val="en-US"/>
              </w:rPr>
            </w:pPr>
            <w:r>
              <w:rPr>
                <w:rFonts w:hAnsi="Arial" w:cs="Arial"/>
                <w:b/>
                <w:lang w:val="en-US"/>
              </w:rPr>
              <w:t>Recruitment Update</w:t>
            </w:r>
          </w:p>
          <w:p w:rsidR="000F6675" w:rsidRPr="00070918" w:rsidRDefault="000F6675" w:rsidP="00070918">
            <w:pPr>
              <w:pStyle w:val="ListParagraph"/>
              <w:numPr>
                <w:ilvl w:val="0"/>
                <w:numId w:val="16"/>
              </w:numPr>
              <w:ind w:left="360"/>
            </w:pPr>
            <w:r w:rsidRPr="00070918">
              <w:t>The Forum noted that plans are under</w:t>
            </w:r>
            <w:r w:rsidR="00070918">
              <w:t xml:space="preserve"> </w:t>
            </w:r>
            <w:r w:rsidRPr="00070918">
              <w:t>way to roll out competency based recruitment training to all</w:t>
            </w:r>
            <w:r w:rsidR="00070918">
              <w:t xml:space="preserve"> managers across the site. </w:t>
            </w:r>
            <w:r w:rsidRPr="00070918">
              <w:t xml:space="preserve">Training courses are in place and it is anticipated that this will be closed off early this year. </w:t>
            </w:r>
          </w:p>
          <w:p w:rsidR="000F6675" w:rsidRPr="00070918" w:rsidRDefault="000F6675" w:rsidP="00070918">
            <w:pPr>
              <w:pStyle w:val="ListParagraph"/>
              <w:numPr>
                <w:ilvl w:val="0"/>
                <w:numId w:val="16"/>
              </w:numPr>
              <w:ind w:left="360"/>
            </w:pPr>
            <w:r w:rsidRPr="00070918">
              <w:t>The group was also informed that the</w:t>
            </w:r>
            <w:r w:rsidR="00070918">
              <w:t xml:space="preserve"> B</w:t>
            </w:r>
            <w:r w:rsidRPr="00070918">
              <w:t>oard is working to</w:t>
            </w:r>
            <w:r w:rsidR="00070918">
              <w:t>ward</w:t>
            </w:r>
            <w:r w:rsidRPr="00070918">
              <w:t xml:space="preserve"> accredit</w:t>
            </w:r>
            <w:r w:rsidR="00070918">
              <w:t>ation</w:t>
            </w:r>
            <w:r w:rsidRPr="00070918">
              <w:t xml:space="preserve"> as an Investor in Young People</w:t>
            </w:r>
            <w:r w:rsidR="00070918">
              <w:t xml:space="preserve">; </w:t>
            </w:r>
            <w:r w:rsidRPr="00070918">
              <w:t xml:space="preserve">the work being undertaken with West College Scotland will support this. </w:t>
            </w:r>
          </w:p>
          <w:p w:rsidR="000F6675" w:rsidRPr="00070918" w:rsidRDefault="000F6675" w:rsidP="00070918">
            <w:pPr>
              <w:pStyle w:val="ListParagraph"/>
              <w:numPr>
                <w:ilvl w:val="0"/>
                <w:numId w:val="16"/>
              </w:numPr>
              <w:ind w:left="360"/>
            </w:pPr>
            <w:r w:rsidRPr="00070918">
              <w:t>It was also noted that</w:t>
            </w:r>
            <w:r w:rsidR="00070918">
              <w:t xml:space="preserve"> the</w:t>
            </w:r>
            <w:r w:rsidRPr="00070918">
              <w:t xml:space="preserve"> recruitment</w:t>
            </w:r>
            <w:r w:rsidR="00070918">
              <w:t xml:space="preserve"> team</w:t>
            </w:r>
            <w:r w:rsidRPr="00070918">
              <w:t xml:space="preserve"> attended a number of National Recruitment events with extremely positive outcomes.  These events have helped to raise the profile of the Board with plans in place to collate a database with the information gathered.  </w:t>
            </w:r>
          </w:p>
          <w:p w:rsidR="008E2733" w:rsidRPr="000F6675" w:rsidRDefault="008E2733" w:rsidP="008E2733">
            <w:pPr>
              <w:pStyle w:val="Body"/>
              <w:pBdr>
                <w:top w:val="none" w:sz="0" w:space="0" w:color="auto"/>
                <w:left w:val="none" w:sz="0" w:space="0" w:color="auto"/>
                <w:bottom w:val="none" w:sz="0" w:space="0" w:color="auto"/>
                <w:right w:val="none" w:sz="0" w:space="0" w:color="auto"/>
                <w:bar w:val="none" w:sz="0" w:color="auto"/>
              </w:pBdr>
              <w:rPr>
                <w:rFonts w:hAnsi="Arial" w:cs="Arial"/>
                <w:b/>
                <w:lang w:val="en-US"/>
              </w:rPr>
            </w:pPr>
          </w:p>
          <w:p w:rsidR="00C171C8" w:rsidRPr="00C171C8" w:rsidRDefault="00C171C8" w:rsidP="00C171C8">
            <w:pPr>
              <w:rPr>
                <w:rFonts w:ascii="Arial" w:hAnsi="Arial" w:cs="Arial"/>
                <w:b/>
                <w:lang w:val="en-US"/>
              </w:rPr>
            </w:pPr>
            <w:r w:rsidRPr="00C171C8">
              <w:rPr>
                <w:rFonts w:ascii="Arial" w:hAnsi="Arial" w:cs="Arial"/>
                <w:b/>
                <w:lang w:val="en-US"/>
              </w:rPr>
              <w:t>Closure of staff dining room at Christmas</w:t>
            </w:r>
            <w:r w:rsidR="00796462" w:rsidRPr="00C171C8">
              <w:rPr>
                <w:rFonts w:ascii="Arial" w:hAnsi="Arial" w:cs="Arial"/>
                <w:b/>
                <w:lang w:val="en-US"/>
              </w:rPr>
              <w:t xml:space="preserve"> </w:t>
            </w:r>
          </w:p>
          <w:p w:rsidR="00C171C8" w:rsidRPr="00070918" w:rsidRDefault="00C171C8" w:rsidP="00070918">
            <w:pPr>
              <w:pStyle w:val="ListParagraph"/>
              <w:numPr>
                <w:ilvl w:val="0"/>
                <w:numId w:val="17"/>
              </w:numPr>
              <w:ind w:left="360"/>
            </w:pPr>
            <w:r w:rsidRPr="00070918">
              <w:t xml:space="preserve">Staff </w:t>
            </w:r>
            <w:r w:rsidR="00070918">
              <w:t>S</w:t>
            </w:r>
            <w:r w:rsidRPr="00070918">
              <w:t xml:space="preserve">ide </w:t>
            </w:r>
            <w:r w:rsidR="00070918">
              <w:t>advised that</w:t>
            </w:r>
            <w:r w:rsidRPr="00070918">
              <w:t xml:space="preserve"> that there had been a number of complaints/</w:t>
            </w:r>
            <w:r w:rsidR="00070918">
              <w:t xml:space="preserve"> </w:t>
            </w:r>
            <w:r w:rsidRPr="00070918">
              <w:t xml:space="preserve">concerns raised following the closure of the canteen during the festive period.     </w:t>
            </w:r>
          </w:p>
          <w:p w:rsidR="00C171C8" w:rsidRPr="00070918" w:rsidRDefault="00C171C8" w:rsidP="00070918">
            <w:pPr>
              <w:pStyle w:val="ListParagraph"/>
              <w:numPr>
                <w:ilvl w:val="0"/>
                <w:numId w:val="17"/>
              </w:numPr>
              <w:ind w:left="360"/>
            </w:pPr>
            <w:r w:rsidRPr="00070918">
              <w:t xml:space="preserve">Management stated that there had been a short life working group set up </w:t>
            </w:r>
            <w:r w:rsidR="00070918">
              <w:t>to do</w:t>
            </w:r>
            <w:r w:rsidRPr="00070918">
              <w:t xml:space="preserve"> a piece of work reviewing the numbers that had utilised the canteen in previous year and</w:t>
            </w:r>
            <w:r w:rsidR="00070918">
              <w:t>,</w:t>
            </w:r>
            <w:r w:rsidRPr="00070918">
              <w:t xml:space="preserve"> following the results of this</w:t>
            </w:r>
            <w:r w:rsidR="00070918">
              <w:t xml:space="preserve">, </w:t>
            </w:r>
            <w:r w:rsidRPr="00070918">
              <w:t>it</w:t>
            </w:r>
            <w:r w:rsidR="00070918">
              <w:t xml:space="preserve"> had was</w:t>
            </w:r>
            <w:r w:rsidRPr="00070918">
              <w:t xml:space="preserve"> show</w:t>
            </w:r>
            <w:r w:rsidR="00070918">
              <w:t xml:space="preserve">n that </w:t>
            </w:r>
            <w:r w:rsidRPr="00070918">
              <w:t>numbers had been low.  It was also reported that staff had been informed in clinical areas that additional meals could be requested for patients</w:t>
            </w:r>
            <w:r w:rsidR="00070918">
              <w:t>’</w:t>
            </w:r>
            <w:r w:rsidRPr="00070918">
              <w:t xml:space="preserve"> family members and it was also highlighted that the Hotel was open</w:t>
            </w:r>
            <w:r w:rsidR="00070918">
              <w:t xml:space="preserve"> as usual during this closure. </w:t>
            </w:r>
            <w:r w:rsidRPr="00070918">
              <w:t xml:space="preserve">It was stated that all comments would be taken on board and these would be included in any future decisions relating to the canteen </w:t>
            </w:r>
            <w:r w:rsidR="00070918">
              <w:t>at</w:t>
            </w:r>
            <w:r w:rsidRPr="00070918">
              <w:t xml:space="preserve"> the next festive period. Assurance was given that staff side would be involved in the working group.</w:t>
            </w:r>
          </w:p>
          <w:p w:rsidR="00686CCE" w:rsidRPr="00686CCE" w:rsidRDefault="00686CCE" w:rsidP="00DA39E7">
            <w:pPr>
              <w:rPr>
                <w:rFonts w:ascii="Arial" w:hAnsi="Arial" w:cs="Arial"/>
                <w:lang w:val="en-US"/>
              </w:rPr>
            </w:pPr>
          </w:p>
        </w:tc>
      </w:tr>
    </w:tbl>
    <w:p w:rsidR="006D232B" w:rsidRDefault="006D232B" w:rsidP="0050651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ind w:left="-426"/>
        <w:rPr>
          <w:rFonts w:eastAsia="Times New Roman" w:hAnsi="Arial" w:cs="Arial"/>
          <w:b/>
          <w:color w:val="auto"/>
          <w:u w:val="single"/>
          <w:lang w:eastAsia="en-US"/>
        </w:rPr>
      </w:pPr>
    </w:p>
    <w:p w:rsidR="006D232B" w:rsidRDefault="006D232B" w:rsidP="0050651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rPr>
          <w:rFonts w:ascii="Arial Bold" w:hAnsi="Arial Bold" w:cs="Arial Bold"/>
        </w:rPr>
      </w:pPr>
      <w:r>
        <w:rPr>
          <w:rFonts w:ascii="Arial Bold"/>
          <w:lang w:val="en-US"/>
        </w:rPr>
        <w:t xml:space="preserve">The </w:t>
      </w:r>
      <w:r w:rsidR="004A781A">
        <w:rPr>
          <w:rFonts w:ascii="Arial Bold"/>
          <w:lang w:val="en-US"/>
        </w:rPr>
        <w:t xml:space="preserve">next meeting is </w:t>
      </w:r>
      <w:r w:rsidR="00B0281E">
        <w:rPr>
          <w:rFonts w:ascii="Arial Bold"/>
          <w:lang w:val="en-US"/>
        </w:rPr>
        <w:t>currently being rescheduled</w:t>
      </w:r>
      <w:r>
        <w:rPr>
          <w:rFonts w:ascii="Arial Bold"/>
          <w:lang w:val="en-US"/>
        </w:rPr>
        <w:t>.</w:t>
      </w:r>
    </w:p>
    <w:p w:rsidR="001175E5" w:rsidRPr="00162874" w:rsidRDefault="001175E5" w:rsidP="00506517">
      <w:pPr>
        <w:ind w:right="183"/>
        <w:rPr>
          <w:rFonts w:ascii="Arial" w:hAnsi="Arial" w:cs="Arial"/>
          <w:bCs/>
        </w:rPr>
      </w:pPr>
    </w:p>
    <w:p w:rsidR="001175E5" w:rsidRPr="00C92710" w:rsidRDefault="004A781A" w:rsidP="00506517">
      <w:pPr>
        <w:ind w:right="183"/>
        <w:rPr>
          <w:rFonts w:ascii="Arial" w:hAnsi="Arial" w:cs="Arial"/>
          <w:b/>
          <w:bCs/>
        </w:rPr>
      </w:pPr>
      <w:r>
        <w:rPr>
          <w:rFonts w:ascii="Arial" w:hAnsi="Arial" w:cs="Arial"/>
          <w:b/>
          <w:bCs/>
        </w:rPr>
        <w:t>Jane Christie-Flight</w:t>
      </w:r>
    </w:p>
    <w:p w:rsidR="001175E5" w:rsidRDefault="004A781A" w:rsidP="00506517">
      <w:pPr>
        <w:ind w:right="183"/>
        <w:rPr>
          <w:rFonts w:ascii="Arial" w:hAnsi="Arial" w:cs="Arial"/>
          <w:b/>
          <w:bCs/>
        </w:rPr>
      </w:pPr>
      <w:r>
        <w:rPr>
          <w:rFonts w:ascii="Arial" w:hAnsi="Arial" w:cs="Arial"/>
          <w:b/>
          <w:bCs/>
        </w:rPr>
        <w:t>Employee Director</w:t>
      </w:r>
    </w:p>
    <w:p w:rsidR="00EB7C07" w:rsidRDefault="00B0281E" w:rsidP="00506517">
      <w:pPr>
        <w:ind w:right="183"/>
      </w:pPr>
      <w:r>
        <w:rPr>
          <w:rFonts w:ascii="Arial" w:hAnsi="Arial" w:cs="Arial"/>
          <w:b/>
          <w:bCs/>
        </w:rPr>
        <w:t>8 February 2017</w:t>
      </w:r>
    </w:p>
    <w:sectPr w:rsidR="00EB7C07" w:rsidSect="00FE4E94">
      <w:footerReference w:type="default" r:id="rId9"/>
      <w:footerReference w:type="first" r:id="rId10"/>
      <w:pgSz w:w="11906" w:h="16838"/>
      <w:pgMar w:top="1440" w:right="1440" w:bottom="1440"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4E94" w:rsidRDefault="00FE4E94">
      <w:r>
        <w:separator/>
      </w:r>
    </w:p>
  </w:endnote>
  <w:endnote w:type="continuationSeparator" w:id="0">
    <w:p w:rsidR="00FE4E94" w:rsidRDefault="00FE4E9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old">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E94" w:rsidRDefault="00FE4E94" w:rsidP="00513DB0">
    <w:pPr>
      <w:pBdr>
        <w:bottom w:val="single" w:sz="12" w:space="1" w:color="auto"/>
      </w:pBdr>
      <w:ind w:left="-540"/>
      <w:jc w:val="center"/>
      <w:rPr>
        <w:rStyle w:val="PageNumber"/>
        <w:rFonts w:ascii="Arial" w:hAnsi="Arial" w:cs="Arial"/>
      </w:rPr>
    </w:pPr>
  </w:p>
  <w:p w:rsidR="00FE4E94" w:rsidRDefault="00FE4E94" w:rsidP="00FE4E94">
    <w:pPr>
      <w:ind w:left="-540"/>
      <w:jc w:val="center"/>
      <w:rPr>
        <w:rFonts w:ascii="Arial" w:hAnsi="Arial" w:cs="Arial"/>
        <w:sz w:val="20"/>
        <w:szCs w:val="20"/>
      </w:rPr>
    </w:pP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sidR="00070918">
      <w:rPr>
        <w:rStyle w:val="PageNumber"/>
        <w:rFonts w:ascii="Arial" w:hAnsi="Arial" w:cs="Arial"/>
        <w:noProof/>
      </w:rPr>
      <w:t>2</w:t>
    </w:r>
    <w:r w:rsidRPr="00513DB0">
      <w:rPr>
        <w:rStyle w:val="PageNumber"/>
        <w:rFonts w:ascii="Arial" w:hAnsi="Arial" w:cs="Arial"/>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E94" w:rsidRDefault="00FE4E94" w:rsidP="00FE4E94">
    <w:pPr>
      <w:pBdr>
        <w:bottom w:val="single" w:sz="12" w:space="1" w:color="auto"/>
      </w:pBdr>
      <w:ind w:left="-540"/>
      <w:jc w:val="center"/>
      <w:rPr>
        <w:rStyle w:val="PageNumber"/>
        <w:rFonts w:ascii="Arial" w:hAnsi="Arial" w:cs="Arial"/>
      </w:rPr>
    </w:pPr>
  </w:p>
  <w:p w:rsidR="00FE4E94" w:rsidRPr="00513DB0" w:rsidRDefault="00FE4E94" w:rsidP="00FE4E94">
    <w:pPr>
      <w:ind w:left="-540"/>
      <w:jc w:val="center"/>
      <w:rPr>
        <w:rFonts w:ascii="Arial" w:hAnsi="Arial" w:cs="Arial"/>
        <w:sz w:val="20"/>
        <w:szCs w:val="20"/>
      </w:rPr>
    </w:pP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sidR="00070918">
      <w:rPr>
        <w:rStyle w:val="PageNumber"/>
        <w:rFonts w:ascii="Arial" w:hAnsi="Arial" w:cs="Arial"/>
        <w:noProof/>
      </w:rPr>
      <w:t>1</w:t>
    </w:r>
    <w:r w:rsidRPr="00513DB0">
      <w:rPr>
        <w:rStyle w:val="PageNumber"/>
        <w:rFonts w:ascii="Arial" w:hAnsi="Arial" w:cs="Arial"/>
      </w:rPr>
      <w:fldChar w:fldCharType="end"/>
    </w:r>
  </w:p>
  <w:p w:rsidR="00FE4E94" w:rsidRDefault="00FE4E94" w:rsidP="00FE4E94">
    <w:pPr>
      <w:ind w:left="-540"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9776" behindDoc="0" locked="0" layoutInCell="1" allowOverlap="1">
          <wp:simplePos x="0" y="0"/>
          <wp:positionH relativeFrom="column">
            <wp:posOffset>5452110</wp:posOffset>
          </wp:positionH>
          <wp:positionV relativeFrom="paragraph">
            <wp:posOffset>128270</wp:posOffset>
          </wp:positionV>
          <wp:extent cx="518160" cy="340995"/>
          <wp:effectExtent l="19050" t="0" r="0" b="0"/>
          <wp:wrapNone/>
          <wp:docPr id="2"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FE4E94" w:rsidRPr="008F5DB5" w:rsidRDefault="00FE4E94" w:rsidP="00FE4E94">
    <w:pPr>
      <w:pStyle w:val="Title"/>
      <w:ind w:left="-540"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FE4E94" w:rsidRPr="00FE4E94" w:rsidRDefault="00FE4E94" w:rsidP="00FE4E94">
    <w:pPr>
      <w:pStyle w:val="Title"/>
      <w:ind w:left="-540"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4E94" w:rsidRDefault="00FE4E94">
      <w:r>
        <w:separator/>
      </w:r>
    </w:p>
  </w:footnote>
  <w:footnote w:type="continuationSeparator" w:id="0">
    <w:p w:rsidR="00FE4E94" w:rsidRDefault="00FE4E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2">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28BF73B3"/>
    <w:multiLevelType w:val="hybridMultilevel"/>
    <w:tmpl w:val="CFEE65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B256EB4"/>
    <w:multiLevelType w:val="hybridMultilevel"/>
    <w:tmpl w:val="6BD429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4A358BE"/>
    <w:multiLevelType w:val="hybridMultilevel"/>
    <w:tmpl w:val="759688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nsid w:val="5A941D17"/>
    <w:multiLevelType w:val="hybridMultilevel"/>
    <w:tmpl w:val="7E945B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3B85FAA"/>
    <w:multiLevelType w:val="hybridMultilevel"/>
    <w:tmpl w:val="4D40E83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9">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nsid w:val="78CD2EFC"/>
    <w:multiLevelType w:val="hybridMultilevel"/>
    <w:tmpl w:val="8946C6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7A381A60"/>
    <w:multiLevelType w:val="hybridMultilevel"/>
    <w:tmpl w:val="6BECD1B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2">
    <w:nsid w:val="7A90297B"/>
    <w:multiLevelType w:val="hybridMultilevel"/>
    <w:tmpl w:val="7F020458"/>
    <w:lvl w:ilvl="0" w:tplc="126654E0">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7C4D644D"/>
    <w:multiLevelType w:val="hybridMultilevel"/>
    <w:tmpl w:val="318081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7D335E49"/>
    <w:multiLevelType w:val="hybridMultilevel"/>
    <w:tmpl w:val="6A70B78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nsid w:val="7F4142B0"/>
    <w:multiLevelType w:val="multilevel"/>
    <w:tmpl w:val="7F020458"/>
    <w:lvl w:ilvl="0">
      <w:start w:val="1"/>
      <w:numFmt w:val="lowerRoman"/>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9"/>
  </w:num>
  <w:num w:numId="2">
    <w:abstractNumId w:val="15"/>
  </w:num>
  <w:num w:numId="3">
    <w:abstractNumId w:val="6"/>
  </w:num>
  <w:num w:numId="4">
    <w:abstractNumId w:val="0"/>
  </w:num>
  <w:num w:numId="5">
    <w:abstractNumId w:val="2"/>
  </w:num>
  <w:num w:numId="6">
    <w:abstractNumId w:val="12"/>
  </w:num>
  <w:num w:numId="7">
    <w:abstractNumId w:val="16"/>
  </w:num>
  <w:num w:numId="8">
    <w:abstractNumId w:val="1"/>
  </w:num>
  <w:num w:numId="9">
    <w:abstractNumId w:val="14"/>
  </w:num>
  <w:num w:numId="10">
    <w:abstractNumId w:val="8"/>
  </w:num>
  <w:num w:numId="11">
    <w:abstractNumId w:val="11"/>
  </w:num>
  <w:num w:numId="12">
    <w:abstractNumId w:val="3"/>
  </w:num>
  <w:num w:numId="13">
    <w:abstractNumId w:val="5"/>
  </w:num>
  <w:num w:numId="14">
    <w:abstractNumId w:val="13"/>
  </w:num>
  <w:num w:numId="15">
    <w:abstractNumId w:val="10"/>
  </w:num>
  <w:num w:numId="16">
    <w:abstractNumId w:val="7"/>
  </w:num>
  <w:num w:numId="1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rsids>
    <w:rsidRoot w:val="00A2577B"/>
    <w:rsid w:val="0005107C"/>
    <w:rsid w:val="000645C7"/>
    <w:rsid w:val="00070918"/>
    <w:rsid w:val="00075AAA"/>
    <w:rsid w:val="000A0F2E"/>
    <w:rsid w:val="000B5923"/>
    <w:rsid w:val="000D2298"/>
    <w:rsid w:val="000F6675"/>
    <w:rsid w:val="00105EF3"/>
    <w:rsid w:val="001175E5"/>
    <w:rsid w:val="00132628"/>
    <w:rsid w:val="0014213C"/>
    <w:rsid w:val="00162874"/>
    <w:rsid w:val="00164E2C"/>
    <w:rsid w:val="001849E6"/>
    <w:rsid w:val="001A624A"/>
    <w:rsid w:val="001B3FD3"/>
    <w:rsid w:val="00200176"/>
    <w:rsid w:val="00233E6E"/>
    <w:rsid w:val="002F5ACF"/>
    <w:rsid w:val="00362A4C"/>
    <w:rsid w:val="003E423D"/>
    <w:rsid w:val="003F19CA"/>
    <w:rsid w:val="00422279"/>
    <w:rsid w:val="004512CE"/>
    <w:rsid w:val="004540F9"/>
    <w:rsid w:val="00463DB0"/>
    <w:rsid w:val="004A781A"/>
    <w:rsid w:val="004B5015"/>
    <w:rsid w:val="00506517"/>
    <w:rsid w:val="00513DB0"/>
    <w:rsid w:val="00590B0A"/>
    <w:rsid w:val="005A20F5"/>
    <w:rsid w:val="00686CCE"/>
    <w:rsid w:val="006939C4"/>
    <w:rsid w:val="006A1357"/>
    <w:rsid w:val="006B13DE"/>
    <w:rsid w:val="006D232B"/>
    <w:rsid w:val="006D74F0"/>
    <w:rsid w:val="006F610D"/>
    <w:rsid w:val="00745A4B"/>
    <w:rsid w:val="00796462"/>
    <w:rsid w:val="007A5877"/>
    <w:rsid w:val="007C549D"/>
    <w:rsid w:val="00810B2C"/>
    <w:rsid w:val="00815350"/>
    <w:rsid w:val="00822B37"/>
    <w:rsid w:val="008553E2"/>
    <w:rsid w:val="00867E1A"/>
    <w:rsid w:val="00882F92"/>
    <w:rsid w:val="00897F9D"/>
    <w:rsid w:val="008A635F"/>
    <w:rsid w:val="008C26A2"/>
    <w:rsid w:val="008E2733"/>
    <w:rsid w:val="00923281"/>
    <w:rsid w:val="009516DF"/>
    <w:rsid w:val="00952AC2"/>
    <w:rsid w:val="00992558"/>
    <w:rsid w:val="00A2577B"/>
    <w:rsid w:val="00A3241E"/>
    <w:rsid w:val="00A57AF3"/>
    <w:rsid w:val="00A914CA"/>
    <w:rsid w:val="00A9157C"/>
    <w:rsid w:val="00AD0178"/>
    <w:rsid w:val="00B0281E"/>
    <w:rsid w:val="00BB36C2"/>
    <w:rsid w:val="00C171C8"/>
    <w:rsid w:val="00C93F06"/>
    <w:rsid w:val="00C956E2"/>
    <w:rsid w:val="00D03C8F"/>
    <w:rsid w:val="00D346C3"/>
    <w:rsid w:val="00D36302"/>
    <w:rsid w:val="00D92AA6"/>
    <w:rsid w:val="00DA39E7"/>
    <w:rsid w:val="00E02FFA"/>
    <w:rsid w:val="00E95856"/>
    <w:rsid w:val="00EB7C07"/>
    <w:rsid w:val="00F04DC7"/>
    <w:rsid w:val="00F1061D"/>
    <w:rsid w:val="00F13AC2"/>
    <w:rsid w:val="00FD5E76"/>
    <w:rsid w:val="00FE12C4"/>
    <w:rsid w:val="00FE4E9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link w:val="HeaderChar"/>
    <w:uiPriority w:val="99"/>
    <w:rsid w:val="00513DB0"/>
    <w:pPr>
      <w:tabs>
        <w:tab w:val="center" w:pos="4153"/>
        <w:tab w:val="right" w:pos="8306"/>
      </w:tabs>
    </w:pPr>
  </w:style>
  <w:style w:type="table" w:styleId="TableGrid">
    <w:name w:val="Table Grid"/>
    <w:basedOn w:val="TableNormal"/>
    <w:rsid w:val="006D23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D232B"/>
    <w:pPr>
      <w:ind w:left="720"/>
    </w:pPr>
    <w:rPr>
      <w:rFonts w:ascii="Arial" w:hAnsi="Arial" w:cs="Arial"/>
    </w:rPr>
  </w:style>
  <w:style w:type="paragraph" w:customStyle="1" w:styleId="Body">
    <w:name w:val="Body"/>
    <w:rsid w:val="006D232B"/>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4"/>
      <w:szCs w:val="24"/>
      <w:u w:color="000000"/>
    </w:rPr>
  </w:style>
  <w:style w:type="character" w:customStyle="1" w:styleId="TitleChar">
    <w:name w:val="Title Char"/>
    <w:basedOn w:val="DefaultParagraphFont"/>
    <w:link w:val="Title"/>
    <w:rsid w:val="00463DB0"/>
    <w:rPr>
      <w:b/>
      <w:sz w:val="22"/>
      <w:lang w:eastAsia="en-US"/>
    </w:rPr>
  </w:style>
  <w:style w:type="character" w:customStyle="1" w:styleId="HeaderChar">
    <w:name w:val="Header Char"/>
    <w:basedOn w:val="DefaultParagraphFont"/>
    <w:link w:val="Header"/>
    <w:uiPriority w:val="99"/>
    <w:rsid w:val="00506517"/>
    <w:rPr>
      <w:sz w:val="24"/>
      <w:szCs w:val="24"/>
      <w:lang w:eastAsia="en-US"/>
    </w:rPr>
  </w:style>
  <w:style w:type="character" w:customStyle="1" w:styleId="FooterChar">
    <w:name w:val="Footer Char"/>
    <w:basedOn w:val="DefaultParagraphFont"/>
    <w:link w:val="Footer"/>
    <w:uiPriority w:val="99"/>
    <w:rsid w:val="00506517"/>
    <w:rPr>
      <w:sz w:val="24"/>
      <w:szCs w:val="24"/>
      <w:lang w:eastAsia="en-US"/>
    </w:rPr>
  </w:style>
  <w:style w:type="paragraph" w:styleId="BalloonText">
    <w:name w:val="Balloon Text"/>
    <w:basedOn w:val="Normal"/>
    <w:link w:val="BalloonTextChar"/>
    <w:rsid w:val="00506517"/>
    <w:rPr>
      <w:rFonts w:ascii="Tahoma" w:hAnsi="Tahoma" w:cs="Tahoma"/>
      <w:sz w:val="16"/>
      <w:szCs w:val="16"/>
    </w:rPr>
  </w:style>
  <w:style w:type="character" w:customStyle="1" w:styleId="BalloonTextChar">
    <w:name w:val="Balloon Text Char"/>
    <w:basedOn w:val="DefaultParagraphFont"/>
    <w:link w:val="BalloonText"/>
    <w:rsid w:val="00506517"/>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450650-6B2F-4844-A81A-E122DEC65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706</Words>
  <Characters>3707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4405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3</cp:revision>
  <dcterms:created xsi:type="dcterms:W3CDTF">2017-02-08T19:28:00Z</dcterms:created>
  <dcterms:modified xsi:type="dcterms:W3CDTF">2017-02-09T11:29:00Z</dcterms:modified>
</cp:coreProperties>
</file>